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7C7B" w14:textId="77777777" w:rsidR="003C61CF" w:rsidRPr="008744D8" w:rsidRDefault="008744D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Montserrat" w:eastAsia="Montserrat" w:hAnsi="Montserrat" w:cs="Montserrat"/>
          <w:b/>
          <w:color w:val="F3B8B5"/>
          <w:sz w:val="52"/>
          <w:szCs w:val="52"/>
        </w:rPr>
      </w:pPr>
      <w:r w:rsidRPr="008744D8">
        <w:rPr>
          <w:rFonts w:ascii="Montserrat" w:eastAsia="Montserrat" w:hAnsi="Montserrat" w:cs="Montserrat"/>
          <w:b/>
          <w:color w:val="F3B8B5"/>
          <w:sz w:val="52"/>
          <w:szCs w:val="52"/>
        </w:rPr>
        <w:t xml:space="preserve">Rozzařte pleť s řadou </w:t>
      </w:r>
      <w:proofErr w:type="spellStart"/>
      <w:r w:rsidRPr="008744D8">
        <w:rPr>
          <w:rFonts w:ascii="Montserrat" w:eastAsia="Montserrat" w:hAnsi="Montserrat" w:cs="Montserrat"/>
          <w:b/>
          <w:color w:val="F3B8B5"/>
          <w:sz w:val="52"/>
          <w:szCs w:val="52"/>
        </w:rPr>
        <w:t>Rosé</w:t>
      </w:r>
      <w:proofErr w:type="spellEnd"/>
      <w:r w:rsidRPr="008744D8">
        <w:rPr>
          <w:rFonts w:ascii="Montserrat" w:eastAsia="Montserrat" w:hAnsi="Montserrat" w:cs="Montserrat"/>
          <w:b/>
          <w:color w:val="F3B8B5"/>
          <w:sz w:val="52"/>
          <w:szCs w:val="52"/>
        </w:rPr>
        <w:t xml:space="preserve"> </w:t>
      </w:r>
      <w:proofErr w:type="spellStart"/>
      <w:r w:rsidRPr="008744D8">
        <w:rPr>
          <w:rFonts w:ascii="Montserrat" w:eastAsia="Montserrat" w:hAnsi="Montserrat" w:cs="Montserrat"/>
          <w:b/>
          <w:color w:val="F3B8B5"/>
          <w:sz w:val="52"/>
          <w:szCs w:val="52"/>
        </w:rPr>
        <w:t>Effekt</w:t>
      </w:r>
      <w:proofErr w:type="spellEnd"/>
    </w:p>
    <w:p w14:paraId="68772936" w14:textId="77777777" w:rsidR="003C61CF" w:rsidRDefault="008744D8">
      <w:pPr>
        <w:pStyle w:val="Podnadpis"/>
        <w:spacing w:line="276" w:lineRule="auto"/>
        <w:jc w:val="center"/>
        <w:rPr>
          <w:rFonts w:ascii="Montserrat" w:eastAsia="Montserrat" w:hAnsi="Montserrat" w:cs="Montserrat"/>
          <w:b/>
          <w:i/>
          <w:color w:val="000000"/>
        </w:rPr>
      </w:pPr>
      <w:r>
        <w:rPr>
          <w:rFonts w:ascii="Montserrat" w:eastAsia="Montserrat" w:hAnsi="Montserrat" w:cs="Montserrat"/>
          <w:b/>
          <w:i/>
          <w:color w:val="000000"/>
        </w:rPr>
        <w:t>Pro zralou, náročnou a unavenou pleť</w:t>
      </w:r>
    </w:p>
    <w:p w14:paraId="3E74F51A" w14:textId="460AB86A" w:rsidR="003C61CF" w:rsidRDefault="008744D8">
      <w:pPr>
        <w:jc w:val="center"/>
      </w:pPr>
      <w:r>
        <w:rPr>
          <w:noProof/>
        </w:rPr>
        <w:drawing>
          <wp:inline distT="0" distB="0" distL="0" distR="0" wp14:anchorId="00A819C7" wp14:editId="4D5FDD3D">
            <wp:extent cx="5814880" cy="2324100"/>
            <wp:effectExtent l="0" t="0" r="0" b="0"/>
            <wp:docPr id="4739680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66" cy="232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BC349" w14:textId="77777777" w:rsidR="003C61CF" w:rsidRDefault="008744D8">
      <w:pPr>
        <w:jc w:val="both"/>
      </w:pPr>
      <w:r>
        <w:rPr>
          <w:b/>
          <w:i/>
        </w:rPr>
        <w:t xml:space="preserve">Řekněte sbohem unavené, bledé a zašedlé pokožce a nabídněte jí péči, která ji rozzáří. Duo produktů z novinkové řady </w:t>
      </w:r>
      <w:proofErr w:type="spellStart"/>
      <w:r>
        <w:rPr>
          <w:b/>
          <w:i/>
        </w:rPr>
        <w:t>Rosé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Effekt</w:t>
      </w:r>
      <w:proofErr w:type="spellEnd"/>
      <w:r>
        <w:rPr>
          <w:b/>
          <w:i/>
        </w:rPr>
        <w:t xml:space="preserve"> je určeno náročné a zralé pleti a pomocí hybridní technologie kombinující pečující složky s barevnými pigmenty jí dodává zdravý, narůžovělý a svěží vzhled. </w:t>
      </w:r>
      <w:r>
        <w:rPr>
          <w:noProof/>
        </w:rPr>
        <w:drawing>
          <wp:anchor distT="342900" distB="342900" distL="342900" distR="342900" simplePos="0" relativeHeight="251658240" behindDoc="0" locked="0" layoutInCell="1" hidden="0" allowOverlap="1" wp14:anchorId="31C68250" wp14:editId="2781FE05">
            <wp:simplePos x="0" y="0"/>
            <wp:positionH relativeFrom="column">
              <wp:posOffset>4143375</wp:posOffset>
            </wp:positionH>
            <wp:positionV relativeFrom="paragraph">
              <wp:posOffset>901348</wp:posOffset>
            </wp:positionV>
            <wp:extent cx="1619855" cy="1619855"/>
            <wp:effectExtent l="0" t="0" r="0" b="0"/>
            <wp:wrapSquare wrapText="bothSides" distT="342900" distB="342900" distL="342900" distR="342900"/>
            <wp:docPr id="17689872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855" cy="161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AF7D05" w14:textId="77777777" w:rsidR="003C61CF" w:rsidRDefault="008744D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80"/>
        <w:jc w:val="both"/>
        <w:rPr>
          <w:b/>
          <w:color w:val="000000"/>
          <w:sz w:val="28"/>
          <w:szCs w:val="28"/>
        </w:rPr>
      </w:pPr>
      <w:bookmarkStart w:id="0" w:name="_heading=h.4e6th428jf4x" w:colFirst="0" w:colLast="0"/>
      <w:bookmarkEnd w:id="0"/>
      <w:proofErr w:type="spellStart"/>
      <w:r>
        <w:rPr>
          <w:b/>
          <w:sz w:val="28"/>
          <w:szCs w:val="28"/>
        </w:rPr>
        <w:t>Rosé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Effekt</w:t>
      </w:r>
      <w:proofErr w:type="spellEnd"/>
      <w:r>
        <w:rPr>
          <w:b/>
          <w:sz w:val="28"/>
          <w:szCs w:val="28"/>
        </w:rPr>
        <w:t xml:space="preserve"> Denní krém </w:t>
      </w:r>
    </w:p>
    <w:p w14:paraId="595BF6D1" w14:textId="77777777" w:rsidR="003C61CF" w:rsidRDefault="008744D8">
      <w:pPr>
        <w:jc w:val="both"/>
      </w:pPr>
      <w:r>
        <w:t xml:space="preserve">Navraťte své tváři jas s </w:t>
      </w:r>
      <w:proofErr w:type="spellStart"/>
      <w:r>
        <w:t>Rosé</w:t>
      </w:r>
      <w:proofErr w:type="spellEnd"/>
      <w:r>
        <w:t xml:space="preserve"> </w:t>
      </w:r>
      <w:proofErr w:type="spellStart"/>
      <w:r>
        <w:t>Effekt</w:t>
      </w:r>
      <w:proofErr w:type="spellEnd"/>
      <w:r>
        <w:t xml:space="preserve"> Denním krémem se zapouzdřenými, pleti přizpůsobenými pigmenty, které propůjčují zralé a náročné pokožce narůžovělý a svěží tón. Obsažený černý oves zajišťuje hloubkovou hydrataci, zklidňuje a regeneruje, a navíc pomáhá snižovat </w:t>
      </w:r>
      <w:proofErr w:type="spellStart"/>
      <w:r>
        <w:t>transepidermální</w:t>
      </w:r>
      <w:proofErr w:type="spellEnd"/>
      <w:r>
        <w:t xml:space="preserve"> ztrátu vody. Bílý čaj posiluje kožní bariéru, přispívá k ochraně proti stárnutí a zajišťuje pleti lesk. Po nanesení působí pokožka okamžitě vyhlazeným dojmem a získává rovnoměrnější strukturu.  </w:t>
      </w:r>
    </w:p>
    <w:p w14:paraId="38188D23" w14:textId="77777777" w:rsidR="003C61CF" w:rsidRDefault="008744D8">
      <w:pPr>
        <w:jc w:val="both"/>
      </w:pPr>
      <w:r>
        <w:t>91 % účastnic testu uvádí: „Denní krém dodává mé pleti zdravou barvu.”*</w:t>
      </w:r>
    </w:p>
    <w:p w14:paraId="20EB500F" w14:textId="77777777" w:rsidR="003C61CF" w:rsidRDefault="008744D8">
      <w:pPr>
        <w:jc w:val="both"/>
        <w:rPr>
          <w:i/>
        </w:rPr>
      </w:pPr>
      <w:r>
        <w:rPr>
          <w:i/>
        </w:rPr>
        <w:t>*Dotazníkové šetření po dobu 3 týdnů se 100 ženami ve věku 55–60 let, 05/20</w:t>
      </w:r>
    </w:p>
    <w:p w14:paraId="7E6B08D7" w14:textId="77777777" w:rsidR="003C61CF" w:rsidRDefault="008744D8">
      <w:pPr>
        <w:jc w:val="both"/>
      </w:pPr>
      <w:r>
        <w:rPr>
          <w:b/>
        </w:rPr>
        <w:t>Doporučená prodejní cena:</w:t>
      </w:r>
      <w:r>
        <w:t xml:space="preserve"> 1160 Kč / 45 €</w:t>
      </w:r>
    </w:p>
    <w:p w14:paraId="6B3F258D" w14:textId="77777777" w:rsidR="003C61CF" w:rsidRDefault="008744D8">
      <w:pPr>
        <w:jc w:val="both"/>
      </w:pPr>
      <w:r>
        <w:rPr>
          <w:b/>
        </w:rPr>
        <w:t xml:space="preserve">Obsah: </w:t>
      </w:r>
      <w:r>
        <w:t>50 ml</w:t>
      </w:r>
    </w:p>
    <w:p w14:paraId="70907F64" w14:textId="77777777" w:rsidR="003C61CF" w:rsidRDefault="008744D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80"/>
        <w:jc w:val="both"/>
        <w:rPr>
          <w:b/>
          <w:sz w:val="28"/>
          <w:szCs w:val="28"/>
        </w:rPr>
      </w:pPr>
      <w:bookmarkStart w:id="1" w:name="_heading=h.ujfh7ymtl6g6" w:colFirst="0" w:colLast="0"/>
      <w:bookmarkEnd w:id="1"/>
      <w:proofErr w:type="spellStart"/>
      <w:r>
        <w:rPr>
          <w:b/>
          <w:sz w:val="28"/>
          <w:szCs w:val="28"/>
        </w:rPr>
        <w:lastRenderedPageBreak/>
        <w:t>Rosé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Effekt</w:t>
      </w:r>
      <w:proofErr w:type="spellEnd"/>
      <w:r>
        <w:rPr>
          <w:b/>
          <w:sz w:val="28"/>
          <w:szCs w:val="28"/>
        </w:rPr>
        <w:t xml:space="preserve"> Oční krém </w:t>
      </w:r>
      <w:r>
        <w:rPr>
          <w:noProof/>
        </w:rPr>
        <w:drawing>
          <wp:anchor distT="342900" distB="342900" distL="342900" distR="342900" simplePos="0" relativeHeight="251659264" behindDoc="0" locked="0" layoutInCell="1" hidden="0" allowOverlap="1" wp14:anchorId="40FAE02E" wp14:editId="737720CC">
            <wp:simplePos x="0" y="0"/>
            <wp:positionH relativeFrom="column">
              <wp:posOffset>4410075</wp:posOffset>
            </wp:positionH>
            <wp:positionV relativeFrom="paragraph">
              <wp:posOffset>342900</wp:posOffset>
            </wp:positionV>
            <wp:extent cx="1090930" cy="2276475"/>
            <wp:effectExtent l="0" t="0" r="0" b="0"/>
            <wp:wrapSquare wrapText="bothSides" distT="342900" distB="342900" distL="342900" distR="342900"/>
            <wp:docPr id="176898727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l="25746" r="26205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2276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741231" w14:textId="77777777" w:rsidR="003C61CF" w:rsidRDefault="008744D8">
      <w:pPr>
        <w:jc w:val="both"/>
      </w:pPr>
      <w:bookmarkStart w:id="2" w:name="_heading=h.qd23w6ewlidg" w:colFirst="0" w:colLast="0"/>
      <w:bookmarkEnd w:id="2"/>
      <w:r>
        <w:t xml:space="preserve">Nechte své oči zazářit! </w:t>
      </w:r>
      <w:proofErr w:type="spellStart"/>
      <w:r>
        <w:t>Rosé</w:t>
      </w:r>
      <w:proofErr w:type="spellEnd"/>
      <w:r>
        <w:t xml:space="preserve"> </w:t>
      </w:r>
      <w:proofErr w:type="spellStart"/>
      <w:r>
        <w:t>Effekt</w:t>
      </w:r>
      <w:proofErr w:type="spellEnd"/>
      <w:r>
        <w:t xml:space="preserve"> Oční krém vyniká krycím efektem a pomocí rozjasňujících barevných pigmentů účinně zakrývá kruhy pod očima a dodává očnímu okolí odpočatý a svěží vzhled. Obsažený černý oves vylepšuje hydrataci pokožky a zabraňuje </w:t>
      </w:r>
      <w:proofErr w:type="spellStart"/>
      <w:r>
        <w:t>transepidermální</w:t>
      </w:r>
      <w:proofErr w:type="spellEnd"/>
      <w:r>
        <w:t xml:space="preserve"> ztrátě vody. Bílý čaj posiluje kožní bariéru a chrání před stárnutím pleti. Výsledkem je opticky vyhlazené a pěstěné oční okolí a rozzářený pohled. </w:t>
      </w:r>
    </w:p>
    <w:p w14:paraId="69EACD2C" w14:textId="77777777" w:rsidR="003C61CF" w:rsidRDefault="008744D8">
      <w:pPr>
        <w:jc w:val="both"/>
      </w:pPr>
      <w:bookmarkStart w:id="3" w:name="_heading=h.8scc1ywxzvj4" w:colFirst="0" w:colLast="0"/>
      <w:bookmarkEnd w:id="3"/>
      <w:r>
        <w:t>81 % účastnic testu uvádí: „Oční krém s krycím efektem okamžitě dodává mé pleti zdravější vzhled.“*</w:t>
      </w:r>
    </w:p>
    <w:p w14:paraId="6FCDF60F" w14:textId="77777777" w:rsidR="003C61CF" w:rsidRDefault="008744D8">
      <w:pPr>
        <w:jc w:val="both"/>
        <w:rPr>
          <w:i/>
        </w:rPr>
      </w:pPr>
      <w:bookmarkStart w:id="4" w:name="_heading=h.3dsjjg5uxizd" w:colFirst="0" w:colLast="0"/>
      <w:bookmarkEnd w:id="4"/>
      <w:r>
        <w:rPr>
          <w:i/>
        </w:rPr>
        <w:t>**Testování po dobu 6 týdnů s 50 ženami ve věku 45–60 let, 02/23</w:t>
      </w:r>
    </w:p>
    <w:p w14:paraId="4B659EED" w14:textId="77777777" w:rsidR="003C61CF" w:rsidRDefault="008744D8">
      <w:pPr>
        <w:jc w:val="both"/>
      </w:pPr>
      <w:r>
        <w:rPr>
          <w:b/>
        </w:rPr>
        <w:t xml:space="preserve">Doporučená prodejní cena: </w:t>
      </w:r>
      <w:r>
        <w:t>900 Kč / 35 €</w:t>
      </w:r>
    </w:p>
    <w:p w14:paraId="148EBF25" w14:textId="77777777" w:rsidR="003C61CF" w:rsidRDefault="008744D8">
      <w:pPr>
        <w:jc w:val="both"/>
      </w:pPr>
      <w:r>
        <w:rPr>
          <w:b/>
        </w:rPr>
        <w:t>Obsah:</w:t>
      </w:r>
      <w:r>
        <w:t xml:space="preserve"> 15 ml</w:t>
      </w:r>
    </w:p>
    <w:p w14:paraId="4347A823" w14:textId="77777777" w:rsidR="003C61CF" w:rsidRDefault="003C61CF"/>
    <w:p w14:paraId="2F0A1B4F" w14:textId="77777777" w:rsidR="003C61CF" w:rsidRPr="008744D8" w:rsidRDefault="008744D8">
      <w:pPr>
        <w:jc w:val="center"/>
        <w:rPr>
          <w:rFonts w:ascii="Montserrat" w:eastAsia="Montserrat" w:hAnsi="Montserrat" w:cs="Montserrat"/>
          <w:b/>
          <w:i/>
          <w:color w:val="F3B8B5"/>
          <w:sz w:val="28"/>
          <w:szCs w:val="28"/>
        </w:rPr>
      </w:pPr>
      <w:r w:rsidRPr="008744D8">
        <w:rPr>
          <w:rFonts w:ascii="Montserrat" w:eastAsia="Montserrat" w:hAnsi="Montserrat" w:cs="Montserrat"/>
          <w:b/>
          <w:i/>
          <w:color w:val="F3B8B5"/>
        </w:rPr>
        <w:t>Produkty budou dostupné v salonech spolupracujících se značkou ALCINA od března 2024.</w:t>
      </w:r>
    </w:p>
    <w:sectPr w:rsidR="003C61CF" w:rsidRPr="008744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18A6" w14:textId="77777777" w:rsidR="008744D8" w:rsidRDefault="008744D8">
      <w:pPr>
        <w:spacing w:after="0" w:line="240" w:lineRule="auto"/>
      </w:pPr>
      <w:r>
        <w:separator/>
      </w:r>
    </w:p>
  </w:endnote>
  <w:endnote w:type="continuationSeparator" w:id="0">
    <w:p w14:paraId="1AA3E10A" w14:textId="77777777" w:rsidR="008744D8" w:rsidRDefault="0087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6F9C" w14:textId="77777777" w:rsidR="003C61CF" w:rsidRDefault="003C61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290" w14:textId="77777777" w:rsidR="003C61CF" w:rsidRDefault="008744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Light" w:eastAsia="Gotham Light" w:hAnsi="Gotham Light" w:cs="Gotham Light"/>
        <w:color w:val="000000"/>
        <w:sz w:val="14"/>
        <w:szCs w:val="14"/>
      </w:rPr>
    </w:pPr>
    <w:r>
      <w:rPr>
        <w:rFonts w:ascii="Gotham Light" w:eastAsia="Gotham Light" w:hAnsi="Gotham Light" w:cs="Gotham Light"/>
        <w:color w:val="000000"/>
        <w:sz w:val="14"/>
        <w:szCs w:val="14"/>
      </w:rPr>
      <w:t>MEDAC, spol. s r. o. | Maříkova 2034/36 | Brno 621 00</w:t>
    </w:r>
    <w:r>
      <w:rPr>
        <w:rFonts w:ascii="Gotham Light" w:eastAsia="Gotham Light" w:hAnsi="Gotham Light" w:cs="Gotham Light"/>
        <w:color w:val="000000"/>
        <w:sz w:val="14"/>
        <w:szCs w:val="14"/>
      </w:rPr>
      <w:br/>
      <w:t xml:space="preserve">PR značky ALCINA: Adriana Spílková | tel.: 728 358 829 | e-mail: </w:t>
    </w:r>
    <w:hyperlink r:id="rId1">
      <w:r>
        <w:rPr>
          <w:rFonts w:ascii="Gotham Light" w:eastAsia="Gotham Light" w:hAnsi="Gotham Light" w:cs="Gotham Light"/>
          <w:color w:val="A88751"/>
          <w:sz w:val="14"/>
          <w:szCs w:val="14"/>
          <w:u w:val="single"/>
        </w:rPr>
        <w:t>adriana.spilkova@medac.cz</w:t>
      </w:r>
    </w:hyperlink>
    <w:r>
      <w:rPr>
        <w:rFonts w:ascii="Gotham Light" w:eastAsia="Gotham Light" w:hAnsi="Gotham Light" w:cs="Gotham Light"/>
        <w:color w:val="A88751"/>
        <w:sz w:val="14"/>
        <w:szCs w:val="14"/>
      </w:rPr>
      <w:t xml:space="preserve"> </w:t>
    </w:r>
  </w:p>
  <w:p w14:paraId="066F6588" w14:textId="77777777" w:rsidR="003C61CF" w:rsidRDefault="008744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Light" w:eastAsia="Gotham Light" w:hAnsi="Gotham Light" w:cs="Gotham Light"/>
        <w:b/>
        <w:color w:val="A78650"/>
        <w:sz w:val="14"/>
        <w:szCs w:val="14"/>
        <w:u w:val="single"/>
      </w:rPr>
    </w:pPr>
    <w:r>
      <w:rPr>
        <w:rFonts w:ascii="Gotham Light" w:eastAsia="Gotham Light" w:hAnsi="Gotham Light" w:cs="Gotham Light"/>
        <w:b/>
        <w:color w:val="000000"/>
        <w:sz w:val="14"/>
        <w:szCs w:val="14"/>
      </w:rPr>
      <w:t>Tiskové materiály ke stažení zde</w:t>
    </w:r>
    <w:r>
      <w:rPr>
        <w:rFonts w:ascii="Gotham Light" w:eastAsia="Gotham Light" w:hAnsi="Gotham Light" w:cs="Gotham Light"/>
        <w:color w:val="000000"/>
        <w:sz w:val="14"/>
        <w:szCs w:val="14"/>
      </w:rPr>
      <w:t xml:space="preserve">: </w:t>
    </w:r>
    <w:hyperlink r:id="rId2">
      <w:r>
        <w:rPr>
          <w:rFonts w:ascii="Gotham Light" w:eastAsia="Gotham Light" w:hAnsi="Gotham Light" w:cs="Gotham Light"/>
          <w:color w:val="A78650"/>
          <w:sz w:val="14"/>
          <w:szCs w:val="14"/>
          <w:u w:val="single"/>
        </w:rPr>
        <w:t>https://www.alcina.cz/pressroom</w:t>
      </w:r>
    </w:hyperlink>
  </w:p>
  <w:p w14:paraId="7A96D65D" w14:textId="77777777" w:rsidR="003C61CF" w:rsidRDefault="008744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Light" w:eastAsia="Gotham Light" w:hAnsi="Gotham Light" w:cs="Gotham Light"/>
        <w:b/>
        <w:color w:val="000000"/>
        <w:sz w:val="14"/>
        <w:szCs w:val="14"/>
      </w:rPr>
    </w:pPr>
    <w:r>
      <w:rPr>
        <w:rFonts w:ascii="Gotham Light" w:eastAsia="Gotham Light" w:hAnsi="Gotham Light" w:cs="Gotham Light"/>
        <w:b/>
        <w:sz w:val="14"/>
        <w:szCs w:val="14"/>
      </w:rPr>
      <w:t>Při použití fotografií modelek prosím uvádějte značku ALCINA jako zdroj.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B32A" w14:textId="77777777" w:rsidR="003C61CF" w:rsidRDefault="003C61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0B4C" w14:textId="77777777" w:rsidR="008744D8" w:rsidRDefault="008744D8">
      <w:pPr>
        <w:spacing w:after="0" w:line="240" w:lineRule="auto"/>
      </w:pPr>
      <w:r>
        <w:separator/>
      </w:r>
    </w:p>
  </w:footnote>
  <w:footnote w:type="continuationSeparator" w:id="0">
    <w:p w14:paraId="68D837E1" w14:textId="77777777" w:rsidR="008744D8" w:rsidRDefault="0087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17DA" w14:textId="77777777" w:rsidR="003C61CF" w:rsidRDefault="003C61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15DC" w14:textId="77777777" w:rsidR="003C61CF" w:rsidRDefault="008744D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Montserrat" w:eastAsia="Montserrat" w:hAnsi="Montserrat" w:cs="Montserrat"/>
        <w:b/>
        <w:color w:val="818792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4A447D8" wp14:editId="4D64E363">
          <wp:simplePos x="0" y="0"/>
          <wp:positionH relativeFrom="column">
            <wp:posOffset>2077402</wp:posOffset>
          </wp:positionH>
          <wp:positionV relativeFrom="paragraph">
            <wp:posOffset>266700</wp:posOffset>
          </wp:positionV>
          <wp:extent cx="1605915" cy="367030"/>
          <wp:effectExtent l="0" t="0" r="0" b="0"/>
          <wp:wrapSquare wrapText="bothSides" distT="0" distB="0" distL="114300" distR="114300"/>
          <wp:docPr id="176898727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367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2"/>
      <w:tblW w:w="8374" w:type="dxa"/>
      <w:tblInd w:w="-63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51"/>
      <w:gridCol w:w="2823"/>
    </w:tblGrid>
    <w:tr w:rsidR="003C61CF" w14:paraId="11A5F632" w14:textId="77777777">
      <w:trPr>
        <w:trHeight w:val="383"/>
      </w:trPr>
      <w:tc>
        <w:tcPr>
          <w:tcW w:w="5551" w:type="dxa"/>
        </w:tcPr>
        <w:p w14:paraId="2275851F" w14:textId="48BE26FC" w:rsidR="003C61CF" w:rsidRDefault="00451A8D">
          <w:pPr>
            <w:ind w:left="636" w:right="-3031"/>
            <w:rPr>
              <w:rFonts w:ascii="Montserrat" w:eastAsia="Montserrat" w:hAnsi="Montserrat" w:cs="Montserrat"/>
              <w:b/>
              <w:sz w:val="16"/>
              <w:szCs w:val="16"/>
            </w:rPr>
          </w:pPr>
          <w:r>
            <w:rPr>
              <w:rFonts w:ascii="Montserrat" w:eastAsia="Montserrat" w:hAnsi="Montserrat" w:cs="Montserrat"/>
              <w:b/>
              <w:sz w:val="16"/>
              <w:szCs w:val="16"/>
            </w:rPr>
            <w:t>4</w:t>
          </w:r>
          <w:r w:rsidR="008744D8">
            <w:rPr>
              <w:rFonts w:ascii="Montserrat" w:eastAsia="Montserrat" w:hAnsi="Montserrat" w:cs="Montserrat"/>
              <w:b/>
              <w:sz w:val="16"/>
              <w:szCs w:val="16"/>
            </w:rPr>
            <w:t xml:space="preserve">. </w:t>
          </w:r>
          <w:r>
            <w:rPr>
              <w:rFonts w:ascii="Montserrat" w:eastAsia="Montserrat" w:hAnsi="Montserrat" w:cs="Montserrat"/>
              <w:b/>
              <w:sz w:val="16"/>
              <w:szCs w:val="16"/>
            </w:rPr>
            <w:t>3</w:t>
          </w:r>
          <w:r w:rsidR="008744D8">
            <w:rPr>
              <w:rFonts w:ascii="Montserrat" w:eastAsia="Montserrat" w:hAnsi="Montserrat" w:cs="Montserrat"/>
              <w:b/>
              <w:sz w:val="16"/>
              <w:szCs w:val="16"/>
            </w:rPr>
            <w:t>. 2024</w:t>
          </w:r>
        </w:p>
      </w:tc>
      <w:tc>
        <w:tcPr>
          <w:tcW w:w="2823" w:type="dxa"/>
        </w:tcPr>
        <w:p w14:paraId="1180B4D4" w14:textId="77777777" w:rsidR="003C61CF" w:rsidRDefault="003C61CF">
          <w:pPr>
            <w:jc w:val="right"/>
          </w:pPr>
        </w:p>
      </w:tc>
    </w:tr>
  </w:tbl>
  <w:p w14:paraId="26E29317" w14:textId="77777777" w:rsidR="003C61CF" w:rsidRDefault="003C61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C56A" w14:textId="77777777" w:rsidR="003C61CF" w:rsidRDefault="003C61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CF"/>
    <w:rsid w:val="003C61CF"/>
    <w:rsid w:val="00451A8D"/>
    <w:rsid w:val="0087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437B"/>
  <w15:docId w15:val="{BB8E3B64-4351-4E6A-939D-FCEF1CF1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table" w:customStyle="1" w:styleId="a">
    <w:basedOn w:val="TableNormal2"/>
    <w:pPr>
      <w:spacing w:after="30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2"/>
    <w:pPr>
      <w:spacing w:after="30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2"/>
    <w:pPr>
      <w:spacing w:after="30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2">
    <w:basedOn w:val="TableNormal2"/>
    <w:pPr>
      <w:spacing w:after="300"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cina.cz/pressroom" TargetMode="External"/><Relationship Id="rId1" Type="http://schemas.openxmlformats.org/officeDocument/2006/relationships/hyperlink" Target="mailto:adriana.spilkova@meda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CZrD92GKL7QWoJDHb4TSPJYpNQ==">CgMxLjAyDmguNGU2dGg0MjhqZjR4Mg5oLnVqZmg3eW10bDZnNjIOaC5xZDIzdzZld2xpZGcyDmguOHNjYzF5d3h6dmo0Mg5oLjNkc2pqZzV1eGl6ZDgAciExa3V5bG1yMjlDSGtZaWFmbnBoQzhYa3BmcjJ0YWtVdE0=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Marsová Dominika</dc:creator>
  <cp:lastModifiedBy>Marsová Dominika</cp:lastModifiedBy>
  <cp:revision>3</cp:revision>
  <dcterms:created xsi:type="dcterms:W3CDTF">2024-01-08T13:53:00Z</dcterms:created>
  <dcterms:modified xsi:type="dcterms:W3CDTF">2024-02-20T11:13:00Z</dcterms:modified>
</cp:coreProperties>
</file>