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before="120" w:lineRule="auto"/>
        <w:jc w:val="center"/>
        <w:rPr>
          <w:b w:val="1"/>
          <w:color w:val="cc0066"/>
          <w:sz w:val="32"/>
          <w:szCs w:val="32"/>
        </w:rPr>
      </w:pPr>
      <w:r w:rsidDel="00000000" w:rsidR="00000000" w:rsidRPr="00000000">
        <w:rPr>
          <w:b w:val="1"/>
          <w:color w:val="cc0066"/>
          <w:sz w:val="32"/>
          <w:szCs w:val="32"/>
          <w:rtl w:val="0"/>
        </w:rPr>
        <w:t xml:space="preserve">Let it grow</w:t>
      </w:r>
    </w:p>
    <w:p w:rsidR="00000000" w:rsidDel="00000000" w:rsidP="00000000" w:rsidRDefault="00000000" w:rsidRPr="00000000" w14:paraId="00000002">
      <w:pPr>
        <w:spacing w:after="0" w:before="120" w:lineRule="auto"/>
        <w:jc w:val="center"/>
        <w:rPr>
          <w:b w:val="1"/>
          <w:color w:val="cc0066"/>
          <w:sz w:val="28"/>
          <w:szCs w:val="28"/>
        </w:rPr>
      </w:pPr>
      <w:r w:rsidDel="00000000" w:rsidR="00000000" w:rsidRPr="00000000">
        <w:rPr>
          <w:b w:val="1"/>
          <w:color w:val="cc0066"/>
          <w:sz w:val="28"/>
          <w:szCs w:val="28"/>
          <w:rtl w:val="0"/>
        </w:rPr>
        <w:t xml:space="preserve">ALCINA představuje Sérum na řasy</w:t>
      </w:r>
      <w:r w:rsidDel="00000000" w:rsidR="00000000" w:rsidRPr="00000000">
        <w:rPr>
          <w:b w:val="1"/>
          <w:color w:val="cc0066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20" w:lineRule="auto"/>
        <w:jc w:val="center"/>
        <w:rPr>
          <w:b w:val="1"/>
          <w:color w:val="cc0066"/>
          <w:sz w:val="16"/>
          <w:szCs w:val="16"/>
        </w:rPr>
      </w:pPr>
      <w:r w:rsidDel="00000000" w:rsidR="00000000" w:rsidRPr="00000000">
        <w:rPr/>
        <w:drawing>
          <wp:inline distB="0" distT="0" distL="0" distR="0">
            <wp:extent cx="5790165" cy="2307259"/>
            <wp:effectExtent b="0" l="0" r="0" t="0"/>
            <wp:docPr id="2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8791" l="0" r="0" t="16947"/>
                    <a:stretch>
                      <a:fillRect/>
                    </a:stretch>
                  </pic:blipFill>
                  <pic:spPr>
                    <a:xfrm>
                      <a:off x="0" y="0"/>
                      <a:ext cx="5790165" cy="23072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bookmarkStart w:colFirst="0" w:colLast="0" w:name="_heading=h.cuewaz565weo" w:id="1"/>
      <w:bookmarkEnd w:id="1"/>
      <w:r w:rsidDel="00000000" w:rsidR="00000000" w:rsidRPr="00000000">
        <w:rPr>
          <w:b w:val="1"/>
          <w:rtl w:val="0"/>
        </w:rPr>
        <w:t xml:space="preserve">Řasenka je perfektním nástrojem pro vytvoření dlouhých a hustých řas. Pokud však chcete efektními vějířky oslňovat třeba hned po probuzení, je třeba sáhnout po jiném produktu. ALCINA Sérum na řasy</w:t>
      </w:r>
      <w:r w:rsidDel="00000000" w:rsidR="00000000" w:rsidRPr="00000000">
        <w:rPr>
          <w:b w:val="1"/>
          <w:vertAlign w:val="superscript"/>
          <w:rtl w:val="0"/>
        </w:rPr>
        <w:t xml:space="preserve">2</w:t>
      </w:r>
      <w:r w:rsidDel="00000000" w:rsidR="00000000" w:rsidRPr="00000000">
        <w:rPr>
          <w:b w:val="1"/>
          <w:rtl w:val="0"/>
        </w:rPr>
        <w:t xml:space="preserve"> podporuje řasy v jejich přirozeném růstu a vytvoří svůdný pohled už za několik týdnů.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3724910</wp:posOffset>
            </wp:positionH>
            <wp:positionV relativeFrom="paragraph">
              <wp:posOffset>628650</wp:posOffset>
            </wp:positionV>
            <wp:extent cx="2038033" cy="3978435"/>
            <wp:effectExtent b="0" l="0" r="0" t="0"/>
            <wp:wrapSquare wrapText="bothSides" distB="0" distT="0" distL="114300" distR="114300"/>
            <wp:docPr id="2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4452" l="6520" r="7723" t="4107"/>
                    <a:stretch>
                      <a:fillRect/>
                    </a:stretch>
                  </pic:blipFill>
                  <pic:spPr>
                    <a:xfrm>
                      <a:off x="0" y="0"/>
                      <a:ext cx="2038033" cy="39784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after="0" w:lineRule="auto"/>
        <w:jc w:val="both"/>
        <w:rPr/>
      </w:pPr>
      <w:r w:rsidDel="00000000" w:rsidR="00000000" w:rsidRPr="00000000">
        <w:rPr>
          <w:b w:val="1"/>
          <w:color w:val="cc0066"/>
          <w:sz w:val="28"/>
          <w:szCs w:val="28"/>
          <w:rtl w:val="0"/>
        </w:rPr>
        <w:t xml:space="preserve">ALCINA Sérum na řasy</w:t>
      </w:r>
      <w:r w:rsidDel="00000000" w:rsidR="00000000" w:rsidRPr="00000000">
        <w:rPr>
          <w:b w:val="1"/>
          <w:color w:val="cc0066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Sen o dlouhých a plných řasách bez nepříjemného lepení a silikonů se stává skutečností, a to díky novému Séru na řasy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. Sérum podporuje jejich přirozený růst, vylepšuje hustotu a délku a od kořínků ke konečkům je posiluje. Neobsahuje silikony, rychle se vstřebává a nelepí. Prodloužení řas po použití séra potvrdilo 92 % testujících. První výsledky jsou viditelné po 4 až 8 týdnech používání.</w:t>
      </w:r>
    </w:p>
    <w:p w:rsidR="00000000" w:rsidDel="00000000" w:rsidP="00000000" w:rsidRDefault="00000000" w:rsidRPr="00000000" w14:paraId="00000008">
      <w:pPr>
        <w:rPr>
          <w:b w:val="1"/>
          <w:color w:val="cc0066"/>
          <w:sz w:val="24"/>
          <w:szCs w:val="24"/>
        </w:rPr>
      </w:pPr>
      <w:r w:rsidDel="00000000" w:rsidR="00000000" w:rsidRPr="00000000">
        <w:rPr>
          <w:b w:val="1"/>
          <w:color w:val="cc0066"/>
          <w:sz w:val="24"/>
          <w:szCs w:val="24"/>
          <w:rtl w:val="0"/>
        </w:rPr>
        <w:t xml:space="preserve">Jak Sérum na řasy</w:t>
      </w:r>
      <w:r w:rsidDel="00000000" w:rsidR="00000000" w:rsidRPr="00000000">
        <w:rPr>
          <w:b w:val="1"/>
          <w:color w:val="cc0066"/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b w:val="1"/>
          <w:color w:val="cc0066"/>
          <w:sz w:val="24"/>
          <w:szCs w:val="24"/>
          <w:rtl w:val="0"/>
        </w:rPr>
        <w:t xml:space="preserve">růst řas podporuje?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Sérum na řasy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 povzbuzuje činnost vlasových folikul díky obsaženému lipo-oligopeptidu, čímž napomáhá k jejich krásnějšímu a plnějšímu vzhledu. Tato látka navíc podporuje produkci keratinu, což je jedna z hlavních složek vlasů a řas. Ve složení séra najdeme dále kofein, který na buňky působí stimulujícím účinkem a dodává jim energii. Přípravek je oftalmologicky a dermatologicky testován.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cc0066"/>
          <w:sz w:val="24"/>
          <w:szCs w:val="24"/>
        </w:rPr>
      </w:pPr>
      <w:r w:rsidDel="00000000" w:rsidR="00000000" w:rsidRPr="00000000">
        <w:rPr>
          <w:b w:val="1"/>
          <w:color w:val="cc0066"/>
          <w:sz w:val="24"/>
          <w:szCs w:val="24"/>
          <w:rtl w:val="0"/>
        </w:rPr>
        <w:t xml:space="preserve">Jak Sérum na řasy</w:t>
      </w:r>
      <w:r w:rsidDel="00000000" w:rsidR="00000000" w:rsidRPr="00000000">
        <w:rPr>
          <w:b w:val="1"/>
          <w:color w:val="cc0066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b w:val="1"/>
          <w:color w:val="cc0066"/>
          <w:sz w:val="24"/>
          <w:szCs w:val="24"/>
          <w:rtl w:val="0"/>
        </w:rPr>
        <w:t xml:space="preserve"> používat?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Sérum naneste 1x denně aplikátorem ke kořínkům horních a/nebo spodních řas z jejich vnější strany. Správný výsledek uvidíte po 8 týdnech používání. Sérum je určeno k dlouhodobému používání.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MPC: 550 </w:t>
      </w:r>
      <w:r w:rsidDel="00000000" w:rsidR="00000000" w:rsidRPr="00000000">
        <w:rPr>
          <w:rtl w:val="0"/>
        </w:rPr>
        <w:t xml:space="preserve">Kč / 19,95 €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Objem: 4,75 ml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 dostání v salonech spolupracujících se značkou ALCINA v průběhu dubna 2020. </w:t>
      </w:r>
    </w:p>
    <w:sectPr>
      <w:headerReference r:id="rId9" w:type="default"/>
      <w:footerReference r:id="rId10" w:type="default"/>
      <w:pgSz w:h="16838" w:w="11906"/>
      <w:pgMar w:bottom="1560" w:top="1843" w:left="1417" w:right="1417" w:header="42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Gotham Book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MEDAC, spol. s r. o. | Maříkova 2034/36 | Brno 621 00</w:t>
      <w:br w:type="textWrapping"/>
      <w:t xml:space="preserve">PR: Jana Krajčová | tel.: </w:t>
    </w: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734 316 744 </w:t>
    </w:r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| e-mail: </w:t>
    </w:r>
    <w:hyperlink r:id="rId1"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jana.krajcova@medac.cz</w:t>
      </w:r>
    </w:hyperlink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76" w:lineRule="auto"/>
      <w:ind w:left="0" w:right="0" w:firstLine="0"/>
      <w:jc w:val="left"/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Gotham Book" w:cs="Gotham Book" w:eastAsia="Gotham Book" w:hAnsi="Gotham Book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Tiskové materiály ke stažení zde</w:t>
    </w:r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: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18"/>
          <w:szCs w:val="18"/>
          <w:u w:val="single"/>
          <w:shd w:fill="auto" w:val="clear"/>
          <w:vertAlign w:val="baseline"/>
          <w:rtl w:val="0"/>
        </w:rPr>
        <w:t xml:space="preserve">https://www.alcina.cz/pressroom</w:t>
      </w:r>
    </w:hyperlink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br w:type="textWrapping"/>
      <w:t xml:space="preserve">www.alcina.cz | </w:t>
    </w:r>
    <w:hyperlink r:id="rId3">
      <w:r w:rsidDel="00000000" w:rsidR="00000000" w:rsidRPr="00000000">
        <w:rPr>
          <w:rFonts w:ascii="Gotham Book" w:cs="Gotham Book" w:eastAsia="Gotham Book" w:hAnsi="Gotham Book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www.plantur.cz</w:t>
      </w:r>
    </w:hyperlink>
    <w:r w:rsidDel="00000000" w:rsidR="00000000" w:rsidRPr="00000000">
      <w:rPr>
        <w:rFonts w:ascii="Gotham Book" w:cs="Gotham Book" w:eastAsia="Gotham Book" w:hAnsi="Gotham Book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| www.alpecin.cz | www.linola.cz</w:t>
    </w:r>
  </w:p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43000" cy="333375"/>
          <wp:effectExtent b="0" l="0" r="0" t="0"/>
          <wp:docPr descr="logo alcina_cerne" id="25" name="image4.jpg"/>
          <a:graphic>
            <a:graphicData uri="http://schemas.openxmlformats.org/drawingml/2006/picture">
              <pic:pic>
                <pic:nvPicPr>
                  <pic:cNvPr descr="logo alcina_cerne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3333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tabs>
        <w:tab w:val="right" w:pos="9072"/>
      </w:tabs>
      <w:spacing w:after="0" w:line="240" w:lineRule="auto"/>
      <w:rPr>
        <w:rFonts w:ascii="Gotham Book" w:cs="Gotham Book" w:eastAsia="Gotham Book" w:hAnsi="Gotham Book"/>
        <w:b w:val="1"/>
        <w:sz w:val="18"/>
        <w:szCs w:val="18"/>
      </w:rPr>
    </w:pPr>
    <w:r w:rsidDel="00000000" w:rsidR="00000000" w:rsidRPr="00000000">
      <w:rPr>
        <w:rFonts w:ascii="Gotham Book" w:cs="Gotham Book" w:eastAsia="Gotham Book" w:hAnsi="Gotham Book"/>
        <w:sz w:val="16"/>
        <w:szCs w:val="16"/>
        <w:rtl w:val="0"/>
      </w:rPr>
      <w:tab/>
      <w:t xml:space="preserve">1. 4. 2020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127000</wp:posOffset>
              </wp:positionV>
              <wp:extent cx="5829300" cy="1270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127000</wp:posOffset>
              </wp:positionV>
              <wp:extent cx="5829300" cy="12700"/>
              <wp:effectExtent b="0" l="0" r="0" t="0"/>
              <wp:wrapNone/>
              <wp:docPr id="2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29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 w:val="1"/>
    <w:rsid w:val="00296F48"/>
    <w:pPr>
      <w:keepNext w:val="1"/>
      <w:spacing w:after="0" w:line="240" w:lineRule="auto"/>
      <w:outlineLvl w:val="0"/>
    </w:pPr>
    <w:rPr>
      <w:rFonts w:ascii="Times New Roman" w:eastAsia="Times New Roman" w:hAnsi="Times New Roman"/>
      <w:b w:val="1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4F41D0"/>
    <w:pPr>
      <w:keepNext w:val="1"/>
      <w:keepLines w:val="1"/>
      <w:spacing w:after="0" w:before="200"/>
      <w:outlineLvl w:val="1"/>
    </w:pPr>
    <w:rPr>
      <w:rFonts w:ascii="Cambria" w:eastAsia="Times New Roman" w:hAnsi="Cambria"/>
      <w:b w:val="1"/>
      <w:bCs w:val="1"/>
      <w:color w:val="4f81bd"/>
      <w:sz w:val="2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1B28BF"/>
    <w:pPr>
      <w:spacing w:after="0" w:line="240" w:lineRule="auto"/>
      <w:ind w:left="720"/>
      <w:contextualSpacing w:val="1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 w:val="1"/>
    <w:rsid w:val="0092077F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 w:val="1"/>
    <w:rsid w:val="0092077F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semiHidden w:val="1"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92077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 w:val="1"/>
    <w:rsid w:val="0092077F"/>
    <w:rPr>
      <w:rFonts w:ascii="Tahoma" w:cs="Tahoma" w:hAnsi="Tahoma"/>
      <w:sz w:val="16"/>
      <w:szCs w:val="16"/>
      <w:lang w:eastAsia="en-US"/>
    </w:rPr>
  </w:style>
  <w:style w:type="character" w:styleId="Hypertextovodkaz">
    <w:name w:val="Hyperlink"/>
    <w:uiPriority w:val="99"/>
    <w:unhideWhenUsed w:val="1"/>
    <w:rsid w:val="00EF4BE2"/>
    <w:rPr>
      <w:color w:val="0000ff"/>
      <w:u w:val="single"/>
    </w:rPr>
  </w:style>
  <w:style w:type="paragraph" w:styleId="Bezmezer">
    <w:name w:val="No Spacing"/>
    <w:uiPriority w:val="1"/>
    <w:qFormat w:val="1"/>
    <w:rsid w:val="00EF4BE2"/>
    <w:rPr>
      <w:sz w:val="22"/>
      <w:szCs w:val="22"/>
      <w:lang w:eastAsia="en-US"/>
    </w:rPr>
  </w:style>
  <w:style w:type="character" w:styleId="Nadpis1Char" w:customStyle="1">
    <w:name w:val="Nadpis 1 Char"/>
    <w:link w:val="Nadpis1"/>
    <w:rsid w:val="00296F48"/>
    <w:rPr>
      <w:rFonts w:ascii="Times New Roman" w:eastAsia="Times New Roman" w:hAnsi="Times New Roman"/>
      <w:b w:val="1"/>
      <w:sz w:val="24"/>
    </w:rPr>
  </w:style>
  <w:style w:type="character" w:styleId="Nadpis2Char" w:customStyle="1">
    <w:name w:val="Nadpis 2 Char"/>
    <w:link w:val="Nadpis2"/>
    <w:uiPriority w:val="9"/>
    <w:rsid w:val="004F41D0"/>
    <w:rPr>
      <w:rFonts w:ascii="Cambria" w:cs="Times New Roman" w:eastAsia="Times New Roman" w:hAnsi="Cambria"/>
      <w:b w:val="1"/>
      <w:bCs w:val="1"/>
      <w:color w:val="4f81bd"/>
      <w:sz w:val="26"/>
      <w:szCs w:val="26"/>
      <w:lang w:eastAsia="en-US"/>
    </w:rPr>
  </w:style>
  <w:style w:type="paragraph" w:styleId="EinfAbs" w:customStyle="1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cs="MinionPro-Regular" w:eastAsia="Times New Roman" w:hAnsi="MinionPro-Regular"/>
      <w:color w:val="000000"/>
      <w:sz w:val="24"/>
      <w:szCs w:val="24"/>
      <w:lang w:eastAsia="de-DE" w:val="de-DE"/>
    </w:rPr>
  </w:style>
  <w:style w:type="character" w:styleId="Odkaznakoment">
    <w:name w:val="annotation reference"/>
    <w:uiPriority w:val="99"/>
    <w:semiHidden w:val="1"/>
    <w:unhideWhenUsed w:val="1"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A42F95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 w:val="1"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A42F95"/>
    <w:rPr>
      <w:b w:val="1"/>
      <w:bCs w:val="1"/>
    </w:rPr>
  </w:style>
  <w:style w:type="character" w:styleId="PedmtkomenteChar" w:customStyle="1">
    <w:name w:val="Předmět komentáře Char"/>
    <w:link w:val="Pedmtkomente"/>
    <w:uiPriority w:val="99"/>
    <w:semiHidden w:val="1"/>
    <w:rsid w:val="00A42F95"/>
    <w:rPr>
      <w:b w:val="1"/>
      <w:bCs w:val="1"/>
      <w:lang w:eastAsia="en-US"/>
    </w:rPr>
  </w:style>
  <w:style w:type="character" w:styleId="Nevyeenzmnka">
    <w:name w:val="Unresolved Mention"/>
    <w:uiPriority w:val="99"/>
    <w:semiHidden w:val="1"/>
    <w:unhideWhenUsed w:val="1"/>
    <w:rsid w:val="009C369D"/>
    <w:rPr>
      <w:color w:val="808080"/>
      <w:shd w:color="auto" w:fill="e6e6e6" w:val="clear"/>
    </w:rPr>
  </w:style>
  <w:style w:type="character" w:styleId="Sledovanodkaz">
    <w:name w:val="FollowedHyperlink"/>
    <w:uiPriority w:val="99"/>
    <w:semiHidden w:val="1"/>
    <w:unhideWhenUsed w:val="1"/>
    <w:rsid w:val="0063231B"/>
    <w:rPr>
      <w:color w:val="954f72"/>
      <w:u w:val="single"/>
    </w:rPr>
  </w:style>
  <w:style w:type="paragraph" w:styleId="Default" w:customStyle="1">
    <w:name w:val="Default"/>
    <w:rsid w:val="009E257F"/>
    <w:pPr>
      <w:autoSpaceDE w:val="0"/>
      <w:autoSpaceDN w:val="0"/>
      <w:adjustRightInd w:val="0"/>
    </w:pPr>
    <w:rPr>
      <w:rFonts w:ascii="Century Gothic" w:cs="Century Gothic" w:hAnsi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 w:val="1"/>
    <w:unhideWhenUsed w:val="1"/>
    <w:rsid w:val="00B92468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rky" w:customStyle="1">
    <w:name w:val="Odrážky"/>
    <w:basedOn w:val="Normln"/>
    <w:link w:val="OdrkyChar"/>
    <w:qFormat w:val="1"/>
    <w:rsid w:val="00126EF8"/>
    <w:pPr>
      <w:numPr>
        <w:numId w:val="1"/>
      </w:numPr>
      <w:spacing w:after="60"/>
      <w:jc w:val="both"/>
    </w:pPr>
    <w:rPr>
      <w:rFonts w:ascii="Century Gothic" w:hAnsi="Century Gothic" w:cstheme="minorBidi" w:eastAsiaTheme="minorHAnsi"/>
    </w:rPr>
  </w:style>
  <w:style w:type="character" w:styleId="OdrkyChar" w:customStyle="1">
    <w:name w:val="Odrážky Char"/>
    <w:basedOn w:val="Standardnpsmoodstavce"/>
    <w:link w:val="Odrky"/>
    <w:rsid w:val="00126EF8"/>
    <w:rPr>
      <w:rFonts w:ascii="Century Gothic" w:hAnsi="Century Gothic" w:cstheme="minorBidi" w:eastAsiaTheme="minorHAns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 w:val="1"/>
    <w:rsid w:val="00491E28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jana.krajcova@medac.cz" TargetMode="External"/><Relationship Id="rId2" Type="http://schemas.openxmlformats.org/officeDocument/2006/relationships/hyperlink" Target="https://www.alcina.cz/pressroom" TargetMode="External"/><Relationship Id="rId3" Type="http://schemas.openxmlformats.org/officeDocument/2006/relationships/hyperlink" Target="http://www.plantur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ZwckMQZG5q9uTR6lP5o+4CNIw==">AMUW2mWgKj4dYYPymNHI7415K7QCdtAeOA74O3k8fQNDc14LCi03B0FSHxIoviZTx35D1Jw54QJaZwKNIXZrFZM2fLnJKGj8BVM3ZOdzT4qMBhdBSJp66v5kSvN0TjC3nRn0cLgGfjA0XVDZFPWuqmivEGdlK0WaBw==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2020-02-05T13:59:00Z</dcterms:created>
  <dc:creator>mgargulakova</dc:creator>
</cp:coreProperties>
</file>